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3B" w:rsidRPr="00C6628B" w:rsidRDefault="00C55BAD" w:rsidP="00B12002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6628B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ВЛИЯНИЕ </w:t>
      </w:r>
      <w:r w:rsidR="00514EA4" w:rsidRPr="00C6628B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ДЕТСКО-РО</w:t>
      </w:r>
      <w:r w:rsidRPr="00C6628B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ДИТЕЛЬСКИХ ОТНОШЕНИЙ НА УЧЕБНУЮ </w:t>
      </w:r>
      <w:r w:rsidR="00514EA4" w:rsidRPr="00C6628B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МОТИВАЦИЮ ШКОЛЬНИКОВ</w:t>
      </w:r>
    </w:p>
    <w:p w:rsidR="00747B39" w:rsidRPr="00C6628B" w:rsidRDefault="009C46C4" w:rsidP="007E052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b/>
          <w:i/>
          <w:sz w:val="28"/>
          <w:szCs w:val="28"/>
        </w:rPr>
        <w:t xml:space="preserve">И.А. </w:t>
      </w:r>
      <w:proofErr w:type="spellStart"/>
      <w:r w:rsidRPr="00C6628B">
        <w:rPr>
          <w:rFonts w:ascii="Times New Roman" w:hAnsi="Times New Roman"/>
          <w:b/>
          <w:i/>
          <w:sz w:val="28"/>
          <w:szCs w:val="28"/>
        </w:rPr>
        <w:t>Тугарева</w:t>
      </w:r>
      <w:proofErr w:type="spellEnd"/>
      <w:r w:rsidRPr="00C6628B">
        <w:rPr>
          <w:rFonts w:ascii="Times New Roman" w:hAnsi="Times New Roman"/>
          <w:i/>
          <w:sz w:val="28"/>
          <w:szCs w:val="28"/>
        </w:rPr>
        <w:t>,</w:t>
      </w:r>
      <w:r w:rsidRPr="00C6628B">
        <w:rPr>
          <w:rFonts w:ascii="Times New Roman" w:hAnsi="Times New Roman"/>
          <w:sz w:val="28"/>
          <w:szCs w:val="28"/>
        </w:rPr>
        <w:t xml:space="preserve"> студентка второго курса</w:t>
      </w:r>
      <w:r w:rsidR="00CB7C91" w:rsidRPr="00C6628B">
        <w:rPr>
          <w:rFonts w:ascii="Times New Roman" w:hAnsi="Times New Roman"/>
          <w:sz w:val="28"/>
          <w:szCs w:val="28"/>
        </w:rPr>
        <w:t xml:space="preserve"> </w:t>
      </w:r>
      <w:r w:rsidRPr="00C6628B">
        <w:rPr>
          <w:rFonts w:ascii="Times New Roman" w:hAnsi="Times New Roman"/>
          <w:sz w:val="28"/>
          <w:szCs w:val="28"/>
        </w:rPr>
        <w:t xml:space="preserve">факультета </w:t>
      </w:r>
      <w:r w:rsidR="00040443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атематики и естественнонаучного образования</w:t>
      </w:r>
    </w:p>
    <w:p w:rsidR="00DE0E71" w:rsidRPr="00C6628B" w:rsidRDefault="009C46C4" w:rsidP="007E052C">
      <w:pPr>
        <w:jc w:val="center"/>
        <w:rPr>
          <w:rFonts w:ascii="Times New Roman" w:hAnsi="Times New Roman"/>
          <w:i/>
          <w:sz w:val="28"/>
          <w:szCs w:val="28"/>
        </w:rPr>
      </w:pPr>
      <w:r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628B">
        <w:rPr>
          <w:rFonts w:ascii="Times New Roman" w:hAnsi="Times New Roman"/>
          <w:i/>
          <w:sz w:val="28"/>
          <w:szCs w:val="28"/>
        </w:rPr>
        <w:t xml:space="preserve">Белгородского государственного национального исследовательского университета, </w:t>
      </w:r>
    </w:p>
    <w:p w:rsidR="00B46AFA" w:rsidRPr="00C6628B" w:rsidRDefault="00B46AFA" w:rsidP="002263DA">
      <w:pPr>
        <w:shd w:val="clear" w:color="auto" w:fill="FFFFFF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82891" w:rsidRPr="00C6628B" w:rsidRDefault="00B46AFA" w:rsidP="002263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28B">
        <w:rPr>
          <w:sz w:val="28"/>
          <w:szCs w:val="28"/>
        </w:rPr>
        <w:t>Особое внимание в отечественной и зарубежной педагоги</w:t>
      </w:r>
      <w:r w:rsidR="00B12002" w:rsidRPr="00C6628B">
        <w:rPr>
          <w:sz w:val="28"/>
          <w:szCs w:val="28"/>
        </w:rPr>
        <w:t>ке и</w:t>
      </w:r>
      <w:r w:rsidRPr="00C6628B">
        <w:rPr>
          <w:sz w:val="28"/>
          <w:szCs w:val="28"/>
        </w:rPr>
        <w:t xml:space="preserve"> психологии уделяется проблеме учебной мотивации школьников</w:t>
      </w:r>
      <w:r w:rsidR="000F0D54" w:rsidRPr="00C6628B">
        <w:rPr>
          <w:sz w:val="28"/>
          <w:szCs w:val="28"/>
        </w:rPr>
        <w:t>, как неотъемлемому компоненту всестороннего развития личности</w:t>
      </w:r>
      <w:r w:rsidRPr="00C6628B">
        <w:rPr>
          <w:sz w:val="28"/>
          <w:szCs w:val="28"/>
        </w:rPr>
        <w:t xml:space="preserve">. Мотивация является стимулирующей основой психической жизни человека, </w:t>
      </w:r>
      <w:r w:rsidR="001C2C0E" w:rsidRPr="00C6628B">
        <w:rPr>
          <w:sz w:val="28"/>
          <w:szCs w:val="28"/>
        </w:rPr>
        <w:t xml:space="preserve">обуславливающей </w:t>
      </w:r>
      <w:r w:rsidRPr="00C6628B">
        <w:rPr>
          <w:sz w:val="28"/>
          <w:szCs w:val="28"/>
        </w:rPr>
        <w:t>активность его поведения. Учебная мотивация определяется как частный вид мотивации, включенной в деятельность учения, учебную деятельность [</w:t>
      </w:r>
      <w:r w:rsidR="00FB1CC4" w:rsidRPr="00C6628B">
        <w:rPr>
          <w:sz w:val="28"/>
          <w:szCs w:val="28"/>
        </w:rPr>
        <w:t>3</w:t>
      </w:r>
      <w:r w:rsidRPr="00C6628B">
        <w:rPr>
          <w:sz w:val="28"/>
          <w:szCs w:val="28"/>
        </w:rPr>
        <w:t>, с.</w:t>
      </w:r>
      <w:r w:rsidR="002042DC" w:rsidRPr="00C6628B">
        <w:rPr>
          <w:sz w:val="28"/>
          <w:szCs w:val="28"/>
        </w:rPr>
        <w:t xml:space="preserve"> </w:t>
      </w:r>
      <w:r w:rsidRPr="00C6628B">
        <w:rPr>
          <w:sz w:val="28"/>
          <w:szCs w:val="28"/>
        </w:rPr>
        <w:t xml:space="preserve">201]. </w:t>
      </w:r>
      <w:r w:rsidR="00A14200" w:rsidRPr="00C6628B">
        <w:rPr>
          <w:rFonts w:eastAsiaTheme="minorHAnsi"/>
          <w:sz w:val="28"/>
          <w:szCs w:val="28"/>
        </w:rPr>
        <w:t>Ее формирование сопряжено с возрастной и индивидуальной уникальностью обучающегося, особенностями влияния образовательной и социальной среды.</w:t>
      </w:r>
    </w:p>
    <w:p w:rsidR="000D0751" w:rsidRPr="00C6628B" w:rsidRDefault="00B46AFA" w:rsidP="002263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28B">
        <w:rPr>
          <w:sz w:val="28"/>
          <w:szCs w:val="28"/>
        </w:rPr>
        <w:t xml:space="preserve">Мотивация учения имеет свои характерные отличия в каждой возрастной категории. Однако по результатам исследований во всех школьных возрастных группах наблюдается тенденция к увеличению числа обучающихся с низким уровнем учебной мотивации. Это связано с радикальным изменением образовательной системы, завышенным уровнем требований к учащимся, усложнением образовательных программ, что, в связи с разным уровнем умственных способностей, препятствует включению в образовательный процесс всех обучающихся. </w:t>
      </w:r>
      <w:r w:rsidR="003F35B6" w:rsidRPr="00C6628B">
        <w:rPr>
          <w:sz w:val="28"/>
          <w:szCs w:val="28"/>
        </w:rPr>
        <w:t>Многие исследователи о</w:t>
      </w:r>
      <w:r w:rsidR="000D0751" w:rsidRPr="00C6628B">
        <w:rPr>
          <w:sz w:val="28"/>
          <w:szCs w:val="28"/>
        </w:rPr>
        <w:t xml:space="preserve">дной из </w:t>
      </w:r>
      <w:r w:rsidR="00F031DD" w:rsidRPr="00C6628B">
        <w:rPr>
          <w:sz w:val="28"/>
          <w:szCs w:val="28"/>
        </w:rPr>
        <w:t>ключевых</w:t>
      </w:r>
      <w:r w:rsidR="000D0751" w:rsidRPr="00C6628B">
        <w:rPr>
          <w:sz w:val="28"/>
          <w:szCs w:val="28"/>
        </w:rPr>
        <w:t xml:space="preserve"> причин снижения уровня учебной мотивации определяют слабую психолого-педагогическую подготовку родителей. </w:t>
      </w:r>
    </w:p>
    <w:p w:rsidR="00A14200" w:rsidRPr="00C6628B" w:rsidRDefault="00844EBB" w:rsidP="002263D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eastAsia="TimesNewRomanPSMT" w:hAnsi="Times New Roman"/>
          <w:sz w:val="28"/>
          <w:szCs w:val="28"/>
        </w:rPr>
        <w:t>Главным условием полноценного развития ребенка является соответствующее его потреб</w:t>
      </w:r>
      <w:r w:rsidR="00E13F2A" w:rsidRPr="00C6628B">
        <w:rPr>
          <w:rFonts w:ascii="Times New Roman" w:eastAsia="TimesNewRomanPSMT" w:hAnsi="Times New Roman"/>
          <w:sz w:val="28"/>
          <w:szCs w:val="28"/>
        </w:rPr>
        <w:t xml:space="preserve">ностям общение со </w:t>
      </w:r>
      <w:r w:rsidRPr="00C6628B">
        <w:rPr>
          <w:rFonts w:ascii="Times New Roman" w:eastAsia="TimesNewRomanPSMT" w:hAnsi="Times New Roman"/>
          <w:sz w:val="28"/>
          <w:szCs w:val="28"/>
        </w:rPr>
        <w:t>взрослыми</w:t>
      </w:r>
      <w:r w:rsidR="00E13F2A" w:rsidRPr="00C66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B1CC4" w:rsidRPr="00C662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3F2A" w:rsidRPr="00C6628B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189].</w:t>
      </w:r>
      <w:r w:rsidRPr="00C6628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66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</w:t>
      </w:r>
      <w:r w:rsidRPr="00C66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поступков 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B1CC4" w:rsidRPr="00C6628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3F2A" w:rsidRPr="00C6628B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245].</w:t>
      </w:r>
      <w:r w:rsidRPr="00C66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31DD" w:rsidRPr="00C6628B">
        <w:rPr>
          <w:rFonts w:ascii="Times New Roman" w:hAnsi="Times New Roman"/>
          <w:sz w:val="28"/>
          <w:szCs w:val="28"/>
        </w:rPr>
        <w:t>Климат семейных отношений, зависящий от стиля родительского воспитания, влияет на психологически гармоничное развитие ребенка, определяющее дальнейшую его возможность активно и продуктивно участвовать в познавательной деятельности.</w:t>
      </w:r>
    </w:p>
    <w:p w:rsidR="00F031DD" w:rsidRPr="00C6628B" w:rsidRDefault="00F031DD" w:rsidP="002263D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Анализируя проблему снижения учебной мотивации, наибольший интерес вызывает ее взаимосвязь со стилем детско-родительских отношений.</w:t>
      </w:r>
    </w:p>
    <w:p w:rsidR="00F031DD" w:rsidRPr="00C6628B" w:rsidRDefault="00CA4D5B" w:rsidP="002263D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628B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1C2C0E" w:rsidRPr="00C6628B">
        <w:rPr>
          <w:rFonts w:ascii="Times New Roman" w:hAnsi="Times New Roman"/>
          <w:color w:val="000000"/>
          <w:sz w:val="28"/>
          <w:szCs w:val="28"/>
        </w:rPr>
        <w:t>проведё</w:t>
      </w:r>
      <w:r w:rsidR="00B31D98" w:rsidRPr="00C6628B">
        <w:rPr>
          <w:rFonts w:ascii="Times New Roman" w:hAnsi="Times New Roman"/>
          <w:color w:val="000000"/>
          <w:sz w:val="28"/>
          <w:szCs w:val="28"/>
        </w:rPr>
        <w:t>нного</w:t>
      </w:r>
      <w:r w:rsidRPr="00C662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C0E" w:rsidRPr="00C6628B">
        <w:rPr>
          <w:rFonts w:ascii="Times New Roman" w:hAnsi="Times New Roman"/>
          <w:color w:val="000000"/>
          <w:sz w:val="28"/>
          <w:szCs w:val="28"/>
        </w:rPr>
        <w:t xml:space="preserve">нами </w:t>
      </w:r>
      <w:r w:rsidR="00B31D98" w:rsidRPr="00C6628B">
        <w:rPr>
          <w:rFonts w:ascii="Times New Roman" w:hAnsi="Times New Roman"/>
          <w:color w:val="000000"/>
          <w:sz w:val="28"/>
          <w:szCs w:val="28"/>
        </w:rPr>
        <w:t>эмпирического</w:t>
      </w:r>
      <w:r w:rsidRPr="00C6628B">
        <w:rPr>
          <w:rFonts w:ascii="Times New Roman" w:hAnsi="Times New Roman"/>
          <w:color w:val="000000"/>
          <w:sz w:val="28"/>
          <w:szCs w:val="28"/>
        </w:rPr>
        <w:t xml:space="preserve"> исследования состо</w:t>
      </w:r>
      <w:r w:rsidR="00B31D98" w:rsidRPr="00C6628B">
        <w:rPr>
          <w:rFonts w:ascii="Times New Roman" w:hAnsi="Times New Roman"/>
          <w:color w:val="000000"/>
          <w:sz w:val="28"/>
          <w:szCs w:val="28"/>
        </w:rPr>
        <w:t>яла</w:t>
      </w:r>
      <w:r w:rsidRPr="00C6628B">
        <w:rPr>
          <w:rFonts w:ascii="Times New Roman" w:hAnsi="Times New Roman"/>
          <w:color w:val="000000"/>
          <w:sz w:val="28"/>
          <w:szCs w:val="28"/>
        </w:rPr>
        <w:t xml:space="preserve"> в выявлении </w:t>
      </w:r>
      <w:r w:rsidRPr="00C6628B">
        <w:rPr>
          <w:rFonts w:ascii="Times New Roman" w:hAnsi="Times New Roman"/>
          <w:sz w:val="28"/>
          <w:szCs w:val="28"/>
        </w:rPr>
        <w:t>особенностей детско-родительских отношений как фактора влияния на учебную мотивацию школьников. Мы предположили, что существует взаимосвязь между стилем детско-родительских отношений и уровнем учебной мотивации школьников.</w:t>
      </w:r>
    </w:p>
    <w:p w:rsidR="00844EBB" w:rsidRPr="00C6628B" w:rsidRDefault="00B12D6F" w:rsidP="002263DA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>Для достижения намеченной цели и доказательства выдвинутой гипотезы нами были выбраны и применены на практике следующие психодиагностические процедуры: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 xml:space="preserve"> «Опросник </w:t>
      </w:r>
      <w:r w:rsidRPr="00C6628B">
        <w:rPr>
          <w:rFonts w:ascii="Times New Roman" w:hAnsi="Times New Roman"/>
          <w:bCs/>
          <w:sz w:val="28"/>
          <w:szCs w:val="28"/>
        </w:rPr>
        <w:t>родительских отношений» (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А.Я. </w:t>
      </w:r>
      <w:r w:rsidRPr="00C662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Варга, 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В.В. </w:t>
      </w:r>
      <w:proofErr w:type="spellStart"/>
      <w:r w:rsidRPr="00C6628B">
        <w:rPr>
          <w:rFonts w:ascii="Times New Roman" w:hAnsi="Times New Roman"/>
          <w:bCs/>
          <w:sz w:val="28"/>
          <w:szCs w:val="28"/>
          <w:shd w:val="clear" w:color="auto" w:fill="FFFFFF"/>
        </w:rPr>
        <w:t>Столин</w:t>
      </w:r>
      <w:proofErr w:type="spellEnd"/>
      <w:r w:rsidRPr="00C6628B">
        <w:rPr>
          <w:rFonts w:ascii="Times New Roman" w:hAnsi="Times New Roman"/>
          <w:bCs/>
          <w:sz w:val="28"/>
          <w:szCs w:val="28"/>
          <w:shd w:val="clear" w:color="auto" w:fill="FFFFFF"/>
        </w:rPr>
        <w:t>), «</w:t>
      </w:r>
      <w:r w:rsidRPr="00C6628B">
        <w:rPr>
          <w:rFonts w:ascii="Times New Roman" w:hAnsi="Times New Roman"/>
          <w:sz w:val="28"/>
          <w:szCs w:val="28"/>
        </w:rPr>
        <w:t>Методика изучения мотивации обучения обучающихся 8</w:t>
      </w:r>
      <w:r w:rsidR="008D6BE6" w:rsidRPr="00C6628B">
        <w:rPr>
          <w:rFonts w:ascii="Times New Roman" w:hAnsi="Times New Roman"/>
          <w:sz w:val="28"/>
          <w:szCs w:val="28"/>
        </w:rPr>
        <w:t>-9</w:t>
      </w:r>
      <w:r w:rsidRPr="00C6628B">
        <w:rPr>
          <w:rFonts w:ascii="Times New Roman" w:hAnsi="Times New Roman"/>
          <w:sz w:val="28"/>
          <w:szCs w:val="28"/>
        </w:rPr>
        <w:t xml:space="preserve"> класса» (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М.И. Лукьянова, Н.В. Калинина). И</w:t>
      </w:r>
      <w:r w:rsidRPr="00C6628B">
        <w:rPr>
          <w:rFonts w:ascii="Times New Roman" w:hAnsi="Times New Roman"/>
          <w:sz w:val="28"/>
          <w:szCs w:val="28"/>
        </w:rPr>
        <w:t xml:space="preserve">сследование проводилось на базе МБОУ «СОШ №2» п. Чернянка Белгородской области. В нем приняли участие </w:t>
      </w:r>
      <w:r w:rsidR="00406B6C" w:rsidRPr="00C6628B">
        <w:rPr>
          <w:rFonts w:ascii="Times New Roman" w:hAnsi="Times New Roman"/>
          <w:sz w:val="28"/>
          <w:szCs w:val="28"/>
        </w:rPr>
        <w:t xml:space="preserve">20 учеников </w:t>
      </w:r>
      <w:r w:rsidRPr="00C6628B">
        <w:rPr>
          <w:rFonts w:ascii="Times New Roman" w:hAnsi="Times New Roman"/>
          <w:sz w:val="28"/>
          <w:szCs w:val="28"/>
        </w:rPr>
        <w:t xml:space="preserve">8«Б» класса и </w:t>
      </w:r>
      <w:r w:rsidR="00406B6C" w:rsidRPr="00C6628B">
        <w:rPr>
          <w:rFonts w:ascii="Times New Roman" w:hAnsi="Times New Roman"/>
          <w:sz w:val="28"/>
          <w:szCs w:val="28"/>
        </w:rPr>
        <w:t>20</w:t>
      </w:r>
      <w:r w:rsidRPr="00C6628B">
        <w:rPr>
          <w:rFonts w:ascii="Times New Roman" w:hAnsi="Times New Roman"/>
          <w:sz w:val="28"/>
          <w:szCs w:val="28"/>
        </w:rPr>
        <w:t xml:space="preserve"> </w:t>
      </w:r>
      <w:r w:rsidR="00406B6C" w:rsidRPr="00C6628B">
        <w:rPr>
          <w:rFonts w:ascii="Times New Roman" w:hAnsi="Times New Roman"/>
          <w:sz w:val="28"/>
          <w:szCs w:val="28"/>
        </w:rPr>
        <w:t xml:space="preserve">родителей </w:t>
      </w:r>
      <w:r w:rsidR="00414D08" w:rsidRPr="00C6628B">
        <w:rPr>
          <w:rFonts w:ascii="Times New Roman" w:hAnsi="Times New Roman"/>
          <w:sz w:val="28"/>
          <w:szCs w:val="28"/>
        </w:rPr>
        <w:t xml:space="preserve">учащихся. </w:t>
      </w:r>
      <w:r w:rsidRPr="00C6628B">
        <w:rPr>
          <w:rFonts w:ascii="Times New Roman" w:hAnsi="Times New Roman"/>
          <w:sz w:val="28"/>
          <w:szCs w:val="28"/>
        </w:rPr>
        <w:t xml:space="preserve"> </w:t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>Перейдем к анализу полученных результатов. Первым нашим шагом было распределение всех учащихся по группам в зависимости от уровня мотивации (Рис. 1).</w:t>
      </w:r>
    </w:p>
    <w:p w:rsidR="00444ABA" w:rsidRPr="00C6628B" w:rsidRDefault="00444ABA" w:rsidP="00C23A6A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628B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 можно заметить, что большая часть обучающихся, принявших участие в исследовании, имеет </w:t>
      </w:r>
      <w:r w:rsidRPr="00C6628B">
        <w:rPr>
          <w:rStyle w:val="FontStyle44"/>
          <w:i w:val="0"/>
          <w:sz w:val="28"/>
          <w:szCs w:val="28"/>
        </w:rPr>
        <w:t xml:space="preserve">нормальный (средний) (50%) и высокий (45%) уровень учебной мотивации. Наименьший процент учащихся (5%) имеет сниженный уровень мотивации. Так как в результате анализа было выявлено преобладание нормального (среднего) и высокого уровня учебной мотивации, показатель сниженной учебной мотивации в дальнейшем анализе представлен не будет. </w:t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>Рис. 1</w:t>
      </w:r>
      <w:r w:rsidRPr="00C6628B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C6628B">
        <w:rPr>
          <w:rFonts w:ascii="Times New Roman" w:hAnsi="Times New Roman"/>
          <w:bCs/>
          <w:sz w:val="28"/>
          <w:szCs w:val="28"/>
        </w:rPr>
        <w:t>Соотношение уровней мотивации в выборке испытуемых</w:t>
      </w:r>
    </w:p>
    <w:p w:rsidR="00414D08" w:rsidRPr="00C6628B" w:rsidRDefault="00414D08" w:rsidP="002263DA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28B">
        <w:rPr>
          <w:rStyle w:val="FontStyle44"/>
          <w:i w:val="0"/>
          <w:sz w:val="28"/>
          <w:szCs w:val="28"/>
        </w:rPr>
        <w:t xml:space="preserve">Следующим нашим шагом было сравнение испытуемых с разным уровнем мотивации по особенностям стиля детско-родительских отношений в их семьях. </w:t>
      </w:r>
      <w:r w:rsidRPr="00C66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результаты представлены на рисунке 2. </w:t>
      </w:r>
    </w:p>
    <w:p w:rsidR="002042DC" w:rsidRPr="00C6628B" w:rsidRDefault="002042DC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2DC" w:rsidRPr="00C6628B" w:rsidRDefault="002042DC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 xml:space="preserve">Рис. </w:t>
      </w:r>
      <w:proofErr w:type="gramStart"/>
      <w:r w:rsidRPr="00C6628B">
        <w:rPr>
          <w:rFonts w:ascii="Times New Roman" w:hAnsi="Times New Roman"/>
          <w:sz w:val="28"/>
          <w:szCs w:val="28"/>
        </w:rPr>
        <w:t>2</w:t>
      </w:r>
      <w:r w:rsidRPr="00C6628B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</w:t>
      </w:r>
      <w:r w:rsidRPr="00C6628B">
        <w:rPr>
          <w:rFonts w:ascii="Times New Roman" w:hAnsi="Times New Roman"/>
          <w:bCs/>
          <w:sz w:val="28"/>
          <w:szCs w:val="28"/>
        </w:rPr>
        <w:t>Особенности</w:t>
      </w:r>
      <w:proofErr w:type="gramEnd"/>
      <w:r w:rsidRPr="00C6628B">
        <w:rPr>
          <w:rFonts w:ascii="Times New Roman" w:hAnsi="Times New Roman"/>
          <w:bCs/>
          <w:sz w:val="28"/>
          <w:szCs w:val="28"/>
        </w:rPr>
        <w:t xml:space="preserve"> детско-родительских отношений в семьях детей с высоким и нормальным (средним) уровнем мотивации</w:t>
      </w:r>
    </w:p>
    <w:p w:rsidR="002042DC" w:rsidRPr="00C6628B" w:rsidRDefault="00075B08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Сравнительный а</w:t>
      </w:r>
      <w:r w:rsidR="002042DC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нализ 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детско-родительских отношений в семьях подростков со средним и высоким уровнем мотивации позволил нам выявить </w:t>
      </w:r>
      <w:r w:rsidR="002042DC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="002042DC" w:rsidRPr="00C662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черты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сходства,</w:t>
      </w:r>
      <w:r w:rsidR="002042DC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которые характерны для них, независимо от уровня их учебной мотивации, так и некоторые различия.</w:t>
      </w:r>
    </w:p>
    <w:p w:rsidR="00414D08" w:rsidRPr="00C6628B" w:rsidRDefault="00075B08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E7A8A" w:rsidRPr="00C6628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приведё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нн</w:t>
      </w:r>
      <w:r w:rsidR="00FE7A8A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выше</w:t>
      </w:r>
      <w:r w:rsidR="00FE7A8A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график</w:t>
      </w:r>
      <w:r w:rsidR="008E125A" w:rsidRPr="00C6628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E7A8A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мы видим значительное преобладание показателя 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принятие-отвержение ребенка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по сравнению с другими показателями типа родительского отношение у подростков, как с высоким уровнем мотивации, так и с </w:t>
      </w:r>
      <w:r w:rsidR="00F3194E" w:rsidRPr="00C6628B">
        <w:rPr>
          <w:rFonts w:ascii="Times New Roman" w:hAnsi="Times New Roman"/>
          <w:sz w:val="28"/>
          <w:szCs w:val="28"/>
          <w:shd w:val="clear" w:color="auto" w:fill="FFFFFF"/>
        </w:rPr>
        <w:t>нормальным (средним)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аименьший уровень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в обеих сравниваемых группах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наблюдается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>по такому показателю типа детско-родительских отношений, как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отношения к неудачам ребенка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. Таким образом, для детско-родительских отношений семей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>всех испытуемых, независимо от уровня их учебной мотивации в целом характерно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положительное отношение к ребенку, 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прин</w:t>
      </w:r>
      <w:r w:rsidR="00FE7A8A" w:rsidRPr="00C6628B">
        <w:rPr>
          <w:rFonts w:ascii="Times New Roman" w:hAnsi="Times New Roman"/>
          <w:sz w:val="28"/>
          <w:szCs w:val="28"/>
          <w:shd w:val="clear" w:color="auto" w:fill="FFFFFF"/>
        </w:rPr>
        <w:t>ятие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, призна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индивидуальност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и и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одобр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ение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интерес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8D6BE6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1770E" w:rsidRPr="00C6628B">
        <w:rPr>
          <w:rFonts w:ascii="Times New Roman" w:hAnsi="Times New Roman"/>
          <w:sz w:val="28"/>
          <w:szCs w:val="28"/>
          <w:shd w:val="clear" w:color="auto" w:fill="FFFFFF"/>
        </w:rPr>
        <w:t>родител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ьская поддержка, вера в ребенка и отношение к его неудачам как к случайностям.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всех обследованных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семей </w:t>
      </w:r>
      <w:r w:rsidR="006C735D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так же 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>характерно преобладание черт авторитарного стиля, а именно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>: чрезмерн</w:t>
      </w:r>
      <w:r w:rsidR="00CD19EC" w:rsidRPr="00C6628B">
        <w:rPr>
          <w:rFonts w:ascii="Times New Roman" w:hAnsi="Times New Roman"/>
          <w:sz w:val="28"/>
          <w:szCs w:val="28"/>
          <w:shd w:val="clear" w:color="auto" w:fill="FFFFFF"/>
        </w:rPr>
        <w:t>ого контроля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E6E3A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диктаторского</w:t>
      </w:r>
      <w:r w:rsidR="00414D08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отношение к ребенку</w:t>
      </w:r>
      <w:r w:rsidR="006C735D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наличие </w:t>
      </w:r>
      <w:r w:rsidR="00414D08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слишком строги</w:t>
      </w:r>
      <w:r w:rsidR="006C735D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 </w:t>
      </w:r>
      <w:r w:rsidR="00414D08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дисциплинарны</w:t>
      </w:r>
      <w:r w:rsidR="006C735D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414D08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</w:t>
      </w:r>
      <w:r w:rsidR="006C735D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ок. </w:t>
      </w:r>
    </w:p>
    <w:p w:rsidR="00414D08" w:rsidRPr="00C6628B" w:rsidRDefault="006C735D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В тоже время можно заметить и некоторые различия показателей стиля родительского отношения в семьях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подростков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со средним и высоким уровнем учебной мотивации.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Так,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следует отметить следующее:</w:t>
      </w:r>
      <w:r w:rsidR="00414D08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14D08" w:rsidRPr="00C6628B" w:rsidRDefault="00414D08" w:rsidP="002263D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По шкалам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принятие-отвержение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кооперация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более высокие результаты получены в группе учащихся с высоким уровнем мотивации.</w:t>
      </w:r>
    </w:p>
    <w:p w:rsidR="00414D08" w:rsidRPr="00C6628B" w:rsidRDefault="00414D08" w:rsidP="002263D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По шкалам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симбиоз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контроль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отношение к неудачам ребенка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более высокие результаты получены в группе учащихся с нормальным (средним) уровнем мотивации.</w:t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Интерпретируя полученные данные, мы можем выделить следующие основные тенденции: </w:t>
      </w:r>
    </w:p>
    <w:p w:rsidR="005615A9" w:rsidRPr="00C6628B" w:rsidRDefault="00414D08" w:rsidP="002263DA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Чем выше уровень учебной мотивации, тем детско-родительские отношения в большей степени характеризуются чертами демократического стиля: принятие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 и его индивидуальности, одобрение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интересов и планов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, высок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оценк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ой его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способностей, поощрение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самостоятельности и инициативы,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стремлением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5432" w:rsidRPr="00C6628B">
        <w:rPr>
          <w:rFonts w:ascii="Times New Roman" w:hAnsi="Times New Roman"/>
          <w:sz w:val="28"/>
          <w:szCs w:val="28"/>
          <w:shd w:val="clear" w:color="auto" w:fill="FFFFFF"/>
        </w:rPr>
        <w:t>общаться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на равных с ребенком и проводи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BE6E3A" w:rsidRPr="00C6628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достаточно много времени с ним. </w:t>
      </w:r>
    </w:p>
    <w:p w:rsidR="003519EE" w:rsidRPr="00C6628B" w:rsidRDefault="00414D08" w:rsidP="002263DA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Чем ниже уровень мотивации, тем в большей степени представлены черты авторитарного стиля в детско-родительских отношениях: более высокий уровень контроля и дисциплинарных требований, ориентация на ошибку,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стремление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родителей навязать ребенку свою волю, добиться определенного уровня послушания. </w:t>
      </w:r>
    </w:p>
    <w:p w:rsidR="003519EE" w:rsidRPr="00C6628B" w:rsidRDefault="003519EE" w:rsidP="002263D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проверки статистической значимости выявленных тенденций мы осуществили расчет коэффициентов корреляции </w:t>
      </w:r>
      <w:r w:rsidRPr="00C6628B">
        <w:rPr>
          <w:rFonts w:ascii="Times New Roman" w:hAnsi="Times New Roman"/>
          <w:sz w:val="28"/>
          <w:szCs w:val="28"/>
          <w:lang w:val="en-US"/>
        </w:rPr>
        <w:t>r</w:t>
      </w:r>
      <w:r w:rsidRPr="00C6628B">
        <w:rPr>
          <w:rFonts w:ascii="Times New Roman" w:hAnsi="Times New Roman"/>
          <w:sz w:val="28"/>
          <w:szCs w:val="28"/>
        </w:rPr>
        <w:t>-Пирсона, результаты которого представлены в таблице 1.</w:t>
      </w:r>
    </w:p>
    <w:p w:rsidR="003519EE" w:rsidRPr="00C6628B" w:rsidRDefault="00386122" w:rsidP="002263DA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Значимые корреляционные связи с уровнем учебной мотивации </w:t>
      </w:r>
      <w:r w:rsidR="000C7354" w:rsidRPr="00C6628B">
        <w:rPr>
          <w:rFonts w:ascii="Times New Roman" w:hAnsi="Times New Roman"/>
          <w:sz w:val="28"/>
          <w:szCs w:val="28"/>
        </w:rPr>
        <w:t>подростков</w:t>
      </w:r>
      <w:r w:rsidRPr="00C6628B">
        <w:rPr>
          <w:rFonts w:ascii="Times New Roman" w:hAnsi="Times New Roman"/>
          <w:sz w:val="28"/>
          <w:szCs w:val="28"/>
        </w:rPr>
        <w:t xml:space="preserve"> были выявлены по таким показателям как «принятие-отвержение» (</w:t>
      </w:r>
      <w:r w:rsidRPr="00C6628B">
        <w:rPr>
          <w:rFonts w:ascii="Times New Roman" w:hAnsi="Times New Roman"/>
          <w:sz w:val="28"/>
          <w:szCs w:val="28"/>
          <w:lang w:val="en-US"/>
        </w:rPr>
        <w:t>r</w:t>
      </w:r>
      <w:r w:rsidRPr="00C6628B">
        <w:rPr>
          <w:rFonts w:ascii="Times New Roman" w:hAnsi="Times New Roman"/>
          <w:sz w:val="28"/>
          <w:szCs w:val="28"/>
        </w:rPr>
        <w:t xml:space="preserve">=0,52, </w:t>
      </w:r>
      <w:r w:rsidRPr="00C6628B">
        <w:rPr>
          <w:rFonts w:ascii="Times New Roman" w:hAnsi="Times New Roman"/>
          <w:sz w:val="28"/>
          <w:szCs w:val="28"/>
          <w:lang w:val="en-US"/>
        </w:rPr>
        <w:t>p</w:t>
      </w:r>
      <w:r w:rsidRPr="00C6628B">
        <w:rPr>
          <w:rFonts w:ascii="Times New Roman" w:hAnsi="Times New Roman"/>
          <w:sz w:val="28"/>
          <w:szCs w:val="28"/>
        </w:rPr>
        <w:t>≤0,05)</w:t>
      </w:r>
      <w:r w:rsidR="003519EE" w:rsidRPr="00C6628B">
        <w:rPr>
          <w:rFonts w:ascii="Times New Roman" w:hAnsi="Times New Roman"/>
          <w:sz w:val="28"/>
          <w:szCs w:val="28"/>
        </w:rPr>
        <w:t xml:space="preserve"> </w:t>
      </w:r>
      <w:r w:rsidRPr="00C6628B">
        <w:rPr>
          <w:rFonts w:ascii="Times New Roman" w:hAnsi="Times New Roman"/>
          <w:sz w:val="28"/>
          <w:szCs w:val="28"/>
        </w:rPr>
        <w:t>и «отношение к неудачам ребенка» (</w:t>
      </w:r>
      <w:r w:rsidRPr="00C6628B">
        <w:rPr>
          <w:rFonts w:ascii="Times New Roman" w:hAnsi="Times New Roman"/>
          <w:sz w:val="28"/>
          <w:szCs w:val="28"/>
          <w:lang w:val="en-US"/>
        </w:rPr>
        <w:t>r</w:t>
      </w:r>
      <w:r w:rsidRPr="00C6628B">
        <w:rPr>
          <w:rFonts w:ascii="Times New Roman" w:hAnsi="Times New Roman"/>
          <w:sz w:val="28"/>
          <w:szCs w:val="28"/>
        </w:rPr>
        <w:t xml:space="preserve">=-0,46, </w:t>
      </w:r>
      <w:r w:rsidRPr="00C6628B">
        <w:rPr>
          <w:rFonts w:ascii="Times New Roman" w:hAnsi="Times New Roman"/>
          <w:sz w:val="28"/>
          <w:szCs w:val="28"/>
          <w:lang w:val="en-US"/>
        </w:rPr>
        <w:t>p</w:t>
      </w:r>
      <w:r w:rsidRPr="00C6628B">
        <w:rPr>
          <w:rFonts w:ascii="Times New Roman" w:hAnsi="Times New Roman"/>
          <w:sz w:val="28"/>
          <w:szCs w:val="28"/>
        </w:rPr>
        <w:t xml:space="preserve">≤0,05). Таким образом, чем выше учебная мотивация ребенка </w:t>
      </w:r>
      <w:r w:rsidR="000C7354" w:rsidRPr="00C6628B">
        <w:rPr>
          <w:rFonts w:ascii="Times New Roman" w:hAnsi="Times New Roman"/>
          <w:sz w:val="28"/>
          <w:szCs w:val="28"/>
        </w:rPr>
        <w:t>подросткового</w:t>
      </w:r>
      <w:r w:rsidRPr="00C6628B">
        <w:rPr>
          <w:rFonts w:ascii="Times New Roman" w:hAnsi="Times New Roman"/>
          <w:sz w:val="28"/>
          <w:szCs w:val="28"/>
        </w:rPr>
        <w:t xml:space="preserve"> возраста, тем в большей степени родители </w:t>
      </w:r>
      <w:r w:rsidR="003E2832" w:rsidRPr="00C6628B">
        <w:rPr>
          <w:rFonts w:ascii="Times New Roman" w:hAnsi="Times New Roman"/>
          <w:sz w:val="28"/>
          <w:szCs w:val="28"/>
        </w:rPr>
        <w:t>демонстрируют</w:t>
      </w:r>
      <w:r w:rsidRPr="00C6628B">
        <w:rPr>
          <w:rFonts w:ascii="Times New Roman" w:hAnsi="Times New Roman"/>
          <w:sz w:val="28"/>
          <w:szCs w:val="28"/>
        </w:rPr>
        <w:t xml:space="preserve"> в отношении к нему принятие, безусловную любовь, одобрение интересов, поощрение инициативы, и тем в меньшей степени в их отношении к ребенку проявляется </w:t>
      </w:r>
      <w:r w:rsidR="00444ABA" w:rsidRPr="00C6628B">
        <w:rPr>
          <w:rFonts w:ascii="Times New Roman" w:hAnsi="Times New Roman"/>
          <w:sz w:val="28"/>
          <w:szCs w:val="28"/>
        </w:rPr>
        <w:t>восприятие его как маленького неудачника, обесценивание его интересов.</w:t>
      </w:r>
      <w:r w:rsidRPr="00C6628B">
        <w:rPr>
          <w:rFonts w:ascii="Times New Roman" w:hAnsi="Times New Roman"/>
          <w:sz w:val="28"/>
          <w:szCs w:val="28"/>
        </w:rPr>
        <w:t xml:space="preserve"> </w:t>
      </w:r>
    </w:p>
    <w:p w:rsidR="003519EE" w:rsidRPr="00C6628B" w:rsidRDefault="003519EE" w:rsidP="002263DA">
      <w:pPr>
        <w:pStyle w:val="a3"/>
        <w:shd w:val="clear" w:color="auto" w:fill="FFFFFF"/>
        <w:ind w:left="1069" w:firstLine="0"/>
        <w:jc w:val="right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>Таблица 1</w:t>
      </w:r>
    </w:p>
    <w:p w:rsidR="003519EE" w:rsidRPr="00C6628B" w:rsidRDefault="003519EE" w:rsidP="002263D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6628B">
        <w:rPr>
          <w:rFonts w:ascii="Times New Roman" w:hAnsi="Times New Roman"/>
          <w:b/>
          <w:sz w:val="28"/>
          <w:szCs w:val="28"/>
        </w:rPr>
        <w:t xml:space="preserve">Коэффициенты корреляции </w:t>
      </w:r>
      <w:r w:rsidRPr="00C6628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6628B">
        <w:rPr>
          <w:rFonts w:ascii="Times New Roman" w:hAnsi="Times New Roman"/>
          <w:b/>
          <w:sz w:val="28"/>
          <w:szCs w:val="28"/>
        </w:rPr>
        <w:t xml:space="preserve">-Пирсона показателей стиля детско-родительских отношений и учебной мотивации </w:t>
      </w:r>
      <w:r w:rsidR="000C7354" w:rsidRPr="00C6628B">
        <w:rPr>
          <w:rFonts w:ascii="Times New Roman" w:hAnsi="Times New Roman"/>
          <w:b/>
          <w:sz w:val="28"/>
          <w:szCs w:val="28"/>
        </w:rPr>
        <w:t>подростков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1418"/>
        <w:gridCol w:w="1559"/>
        <w:gridCol w:w="1701"/>
      </w:tblGrid>
      <w:tr w:rsidR="003519EE" w:rsidRPr="00C6628B" w:rsidTr="003519EE">
        <w:trPr>
          <w:trHeight w:val="73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Принятие – отвержение ребенка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Кооперация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Симбиоз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Отношение к неудачам ребенка</w:t>
            </w:r>
          </w:p>
        </w:tc>
      </w:tr>
      <w:tr w:rsidR="003519EE" w:rsidRPr="00C6628B" w:rsidTr="003519EE">
        <w:trPr>
          <w:trHeight w:val="26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9EE" w:rsidRPr="00C6628B" w:rsidRDefault="003519EE" w:rsidP="002263D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2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мотивации 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EE" w:rsidRPr="00C6628B" w:rsidRDefault="003519EE" w:rsidP="002263D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2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0,52*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EE" w:rsidRPr="00C6628B" w:rsidRDefault="003519EE" w:rsidP="002263D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28B">
              <w:rPr>
                <w:rFonts w:ascii="Times New Roman" w:hAnsi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EE" w:rsidRPr="00C6628B" w:rsidRDefault="003519EE" w:rsidP="002263D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28B">
              <w:rPr>
                <w:rFonts w:ascii="Times New Roman" w:hAnsi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EE" w:rsidRPr="00C6628B" w:rsidRDefault="003519EE" w:rsidP="002263D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28B">
              <w:rPr>
                <w:rFonts w:ascii="Times New Roman" w:hAnsi="Times New Roman"/>
                <w:color w:val="000000"/>
                <w:sz w:val="28"/>
                <w:szCs w:val="28"/>
              </w:rPr>
              <w:t>-0,17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EE" w:rsidRPr="00C6628B" w:rsidRDefault="003519EE" w:rsidP="002263D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2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-0,46*</w:t>
            </w:r>
          </w:p>
        </w:tc>
      </w:tr>
    </w:tbl>
    <w:p w:rsidR="003519EE" w:rsidRPr="00C6628B" w:rsidRDefault="003519EE" w:rsidP="002263D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b/>
          <w:sz w:val="28"/>
          <w:szCs w:val="28"/>
        </w:rPr>
        <w:t>Примечание: *</w:t>
      </w:r>
      <w:r w:rsidRPr="00C6628B">
        <w:rPr>
          <w:rFonts w:ascii="Times New Roman" w:hAnsi="Times New Roman"/>
          <w:sz w:val="28"/>
          <w:szCs w:val="28"/>
        </w:rPr>
        <w:t xml:space="preserve"> - уровень значимости </w:t>
      </w:r>
      <w:r w:rsidRPr="00C6628B">
        <w:rPr>
          <w:rFonts w:ascii="Times New Roman" w:hAnsi="Times New Roman"/>
          <w:sz w:val="28"/>
          <w:szCs w:val="28"/>
          <w:lang w:val="en-US"/>
        </w:rPr>
        <w:t>p</w:t>
      </w:r>
      <w:r w:rsidRPr="00C6628B">
        <w:rPr>
          <w:rFonts w:ascii="Times New Roman" w:hAnsi="Times New Roman"/>
          <w:sz w:val="28"/>
          <w:szCs w:val="28"/>
        </w:rPr>
        <w:t>≤0,05</w:t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Для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более детального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анализа 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особенностей взаимосвязи учебной мотивации подростков и особенностей </w:t>
      </w:r>
      <w:r w:rsidR="00EB0A0B" w:rsidRPr="00C6628B">
        <w:rPr>
          <w:rFonts w:ascii="Times New Roman" w:hAnsi="Times New Roman"/>
          <w:sz w:val="28"/>
          <w:szCs w:val="28"/>
          <w:shd w:val="clear" w:color="auto" w:fill="FFFFFF"/>
        </w:rPr>
        <w:t>их детско-родительских отношений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>, мы осуществили анализ мотивов учебной деятельности</w:t>
      </w:r>
      <w:r w:rsidR="00EB0A0B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в</w:t>
      </w:r>
      <w:r w:rsidR="000E016E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семья</w:t>
      </w:r>
      <w:r w:rsidR="00EB0A0B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х с низким, средним и высоким уровнем родительского контроля </w:t>
      </w:r>
      <w:r w:rsidR="00EB0A0B" w:rsidRPr="00C6628B">
        <w:rPr>
          <w:rFonts w:ascii="Times New Roman" w:hAnsi="Times New Roman"/>
          <w:sz w:val="28"/>
          <w:szCs w:val="28"/>
        </w:rPr>
        <w:t>(Рис. 3</w:t>
      </w:r>
      <w:r w:rsidRPr="00C6628B">
        <w:rPr>
          <w:rFonts w:ascii="Times New Roman" w:hAnsi="Times New Roman"/>
          <w:sz w:val="28"/>
          <w:szCs w:val="28"/>
        </w:rPr>
        <w:t>).</w:t>
      </w:r>
    </w:p>
    <w:p w:rsidR="002E55F2" w:rsidRPr="00C6628B" w:rsidRDefault="002E55F2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05450" cy="3095625"/>
            <wp:effectExtent l="19050" t="0" r="1905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D08" w:rsidRPr="00C6628B" w:rsidRDefault="00414D08" w:rsidP="0022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Рис. </w:t>
      </w:r>
      <w:r w:rsidR="00EB0A0B" w:rsidRPr="00C6628B">
        <w:rPr>
          <w:rFonts w:ascii="Times New Roman" w:hAnsi="Times New Roman"/>
          <w:sz w:val="28"/>
          <w:szCs w:val="28"/>
        </w:rPr>
        <w:t>3</w:t>
      </w:r>
      <w:r w:rsidRPr="00C6628B">
        <w:rPr>
          <w:rFonts w:ascii="Times New Roman" w:hAnsi="Times New Roman"/>
          <w:sz w:val="28"/>
          <w:szCs w:val="28"/>
        </w:rPr>
        <w:t xml:space="preserve"> Соотношение учебных мотивов у подростков с низким, средним, высоким уровнем родительского контроля</w:t>
      </w:r>
    </w:p>
    <w:p w:rsidR="00FB14B3" w:rsidRPr="00C6628B" w:rsidRDefault="0059079B" w:rsidP="002263DA">
      <w:pPr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На представленном выше графике четко прослеживается зависимость уровня </w:t>
      </w:r>
      <w:r w:rsidRPr="00C6628B">
        <w:rPr>
          <w:rFonts w:ascii="Times New Roman" w:hAnsi="Times New Roman"/>
          <w:sz w:val="28"/>
          <w:szCs w:val="28"/>
        </w:rPr>
        <w:t xml:space="preserve">родительского контроля и мотивов учащихся. Можно </w:t>
      </w:r>
      <w:r w:rsidR="00FB14B3" w:rsidRPr="00C6628B">
        <w:rPr>
          <w:rFonts w:ascii="Times New Roman" w:hAnsi="Times New Roman"/>
          <w:sz w:val="28"/>
          <w:szCs w:val="28"/>
        </w:rPr>
        <w:t>выделить</w:t>
      </w:r>
      <w:r w:rsidRPr="00C6628B">
        <w:rPr>
          <w:rFonts w:ascii="Times New Roman" w:hAnsi="Times New Roman"/>
          <w:sz w:val="28"/>
          <w:szCs w:val="28"/>
        </w:rPr>
        <w:t xml:space="preserve"> следующ</w:t>
      </w:r>
      <w:r w:rsidR="00FB14B3" w:rsidRPr="00C6628B">
        <w:rPr>
          <w:rFonts w:ascii="Times New Roman" w:hAnsi="Times New Roman"/>
          <w:sz w:val="28"/>
          <w:szCs w:val="28"/>
        </w:rPr>
        <w:t>ие</w:t>
      </w:r>
      <w:r w:rsidRPr="00C6628B">
        <w:rPr>
          <w:rFonts w:ascii="Times New Roman" w:hAnsi="Times New Roman"/>
          <w:sz w:val="28"/>
          <w:szCs w:val="28"/>
        </w:rPr>
        <w:t xml:space="preserve"> </w:t>
      </w:r>
      <w:r w:rsidR="00FB14B3" w:rsidRPr="00C6628B">
        <w:rPr>
          <w:rFonts w:ascii="Times New Roman" w:hAnsi="Times New Roman"/>
          <w:sz w:val="28"/>
          <w:szCs w:val="28"/>
        </w:rPr>
        <w:t>тенденции</w:t>
      </w:r>
      <w:r w:rsidRPr="00C6628B">
        <w:rPr>
          <w:rFonts w:ascii="Times New Roman" w:hAnsi="Times New Roman"/>
          <w:sz w:val="28"/>
          <w:szCs w:val="28"/>
        </w:rPr>
        <w:t xml:space="preserve">: </w:t>
      </w:r>
    </w:p>
    <w:p w:rsidR="00C149A5" w:rsidRPr="00C6628B" w:rsidRDefault="00FB14B3" w:rsidP="002263DA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>Ч</w:t>
      </w:r>
      <w:r w:rsidR="0059079B" w:rsidRPr="00C6628B">
        <w:rPr>
          <w:rFonts w:ascii="Times New Roman" w:hAnsi="Times New Roman"/>
          <w:sz w:val="28"/>
          <w:szCs w:val="28"/>
        </w:rPr>
        <w:t xml:space="preserve">ем выше авторитарность детско-родительских отношений, выраженная уровнем родительского контроля, тем больше показатель учебного мотива и меньше показатель позиционного мотива. </w:t>
      </w:r>
    </w:p>
    <w:p w:rsidR="00C149A5" w:rsidRPr="00C6628B" w:rsidRDefault="00C149A5" w:rsidP="002263DA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Чем ниже авторитарность детско-родительских отношений, тем значительнее преобладание позиционного мотива над учебным мотивом. </w:t>
      </w:r>
    </w:p>
    <w:p w:rsidR="00C149A5" w:rsidRPr="00C6628B" w:rsidRDefault="0059079B" w:rsidP="002263DA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Уровень оценочного мотива, независимо от уровня родительского контроля, остается неизменным. </w:t>
      </w:r>
    </w:p>
    <w:p w:rsidR="00FB14B3" w:rsidRPr="00C6628B" w:rsidRDefault="0059079B" w:rsidP="002263DA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Показатель игрового мотива относительно невелик и обладает тенденцией к усилению своего значения в мотивационной сфере школьника с увеличением уровня родительского контроля. </w:t>
      </w:r>
    </w:p>
    <w:p w:rsidR="00C149A5" w:rsidRPr="00C6628B" w:rsidRDefault="002C2C95" w:rsidP="002263DA">
      <w:pPr>
        <w:ind w:firstLine="708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lastRenderedPageBreak/>
        <w:t>Так,</w:t>
      </w:r>
      <w:r w:rsidR="00C149A5" w:rsidRPr="00C6628B">
        <w:rPr>
          <w:rFonts w:ascii="Times New Roman" w:hAnsi="Times New Roman"/>
          <w:sz w:val="28"/>
          <w:szCs w:val="28"/>
        </w:rPr>
        <w:t xml:space="preserve"> учащимися с высоким</w:t>
      </w:r>
      <w:r w:rsidR="00B553BF" w:rsidRPr="00C6628B">
        <w:rPr>
          <w:rFonts w:ascii="Times New Roman" w:hAnsi="Times New Roman"/>
          <w:sz w:val="28"/>
          <w:szCs w:val="28"/>
        </w:rPr>
        <w:t xml:space="preserve"> и средним</w:t>
      </w:r>
      <w:r w:rsidR="00C149A5" w:rsidRPr="00C6628B">
        <w:rPr>
          <w:rFonts w:ascii="Times New Roman" w:hAnsi="Times New Roman"/>
          <w:sz w:val="28"/>
          <w:szCs w:val="28"/>
        </w:rPr>
        <w:t xml:space="preserve"> уровнем родительского контроля в рамках учебного процесса движет стремление и интерес получить новые знания, хорошую оценку и одобрение взрослого,</w:t>
      </w:r>
      <w:r w:rsidRPr="00C6628B">
        <w:rPr>
          <w:rFonts w:ascii="Times New Roman" w:hAnsi="Times New Roman"/>
          <w:sz w:val="28"/>
          <w:szCs w:val="28"/>
        </w:rPr>
        <w:t xml:space="preserve"> занят</w:t>
      </w:r>
      <w:r w:rsidR="00777257" w:rsidRPr="00C6628B">
        <w:rPr>
          <w:rFonts w:ascii="Times New Roman" w:hAnsi="Times New Roman"/>
          <w:sz w:val="28"/>
          <w:szCs w:val="28"/>
        </w:rPr>
        <w:t>ь важное место в коллективе. Н</w:t>
      </w:r>
      <w:r w:rsidR="00C149A5" w:rsidRPr="00C6628B">
        <w:rPr>
          <w:rFonts w:ascii="Times New Roman" w:hAnsi="Times New Roman"/>
          <w:sz w:val="28"/>
          <w:szCs w:val="28"/>
        </w:rPr>
        <w:t xml:space="preserve">емаловажное значение имеет игра как </w:t>
      </w:r>
      <w:proofErr w:type="spellStart"/>
      <w:r w:rsidR="00C149A5" w:rsidRPr="00C6628B">
        <w:rPr>
          <w:rFonts w:ascii="Times New Roman" w:hAnsi="Times New Roman"/>
          <w:sz w:val="28"/>
          <w:szCs w:val="28"/>
        </w:rPr>
        <w:t>мотиватор</w:t>
      </w:r>
      <w:proofErr w:type="spellEnd"/>
      <w:r w:rsidR="00C149A5" w:rsidRPr="00C6628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149A5" w:rsidRPr="00C6628B">
        <w:rPr>
          <w:rFonts w:ascii="Times New Roman" w:hAnsi="Times New Roman"/>
          <w:sz w:val="28"/>
          <w:szCs w:val="28"/>
        </w:rPr>
        <w:t>антимотиватор</w:t>
      </w:r>
      <w:proofErr w:type="spellEnd"/>
      <w:r w:rsidR="00C149A5" w:rsidRPr="00C6628B">
        <w:rPr>
          <w:rFonts w:ascii="Times New Roman" w:hAnsi="Times New Roman"/>
          <w:sz w:val="28"/>
          <w:szCs w:val="28"/>
        </w:rPr>
        <w:t xml:space="preserve"> процесса познания. Для группы учащихся со сниженным уровнем родительского контроля</w:t>
      </w:r>
      <w:r w:rsidR="00B553BF" w:rsidRPr="00C6628B">
        <w:rPr>
          <w:rFonts w:ascii="Times New Roman" w:hAnsi="Times New Roman"/>
          <w:sz w:val="28"/>
          <w:szCs w:val="28"/>
        </w:rPr>
        <w:t xml:space="preserve"> </w:t>
      </w:r>
      <w:r w:rsidR="00C149A5" w:rsidRPr="00C6628B">
        <w:rPr>
          <w:rFonts w:ascii="Times New Roman" w:hAnsi="Times New Roman"/>
          <w:sz w:val="28"/>
          <w:szCs w:val="28"/>
        </w:rPr>
        <w:t>в большей степени характерно стремление занять</w:t>
      </w:r>
      <w:r w:rsidR="001E1701" w:rsidRPr="00C6628B">
        <w:rPr>
          <w:rFonts w:ascii="Times New Roman" w:hAnsi="Times New Roman"/>
          <w:sz w:val="28"/>
          <w:szCs w:val="28"/>
        </w:rPr>
        <w:t xml:space="preserve"> место лидера, самоутвердиться. </w:t>
      </w:r>
      <w:r w:rsidRPr="00C6628B">
        <w:rPr>
          <w:rFonts w:ascii="Times New Roman" w:hAnsi="Times New Roman"/>
          <w:sz w:val="28"/>
          <w:szCs w:val="28"/>
        </w:rPr>
        <w:t>Цель получения новых знаний и положительной оценки</w:t>
      </w:r>
      <w:r w:rsidR="00125504" w:rsidRPr="00C6628B">
        <w:rPr>
          <w:rFonts w:ascii="Times New Roman" w:hAnsi="Times New Roman"/>
          <w:sz w:val="28"/>
          <w:szCs w:val="28"/>
        </w:rPr>
        <w:t xml:space="preserve"> взрослого</w:t>
      </w:r>
      <w:r w:rsidRPr="00C6628B">
        <w:rPr>
          <w:rFonts w:ascii="Times New Roman" w:hAnsi="Times New Roman"/>
          <w:sz w:val="28"/>
          <w:szCs w:val="28"/>
        </w:rPr>
        <w:t xml:space="preserve"> приобретает второстепенное значение. </w:t>
      </w:r>
    </w:p>
    <w:p w:rsidR="0059079B" w:rsidRPr="00C6628B" w:rsidRDefault="0059079B" w:rsidP="002263DA">
      <w:pPr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C6628B">
        <w:rPr>
          <w:rFonts w:ascii="Times New Roman" w:hAnsi="Times New Roman"/>
          <w:sz w:val="28"/>
          <w:szCs w:val="28"/>
        </w:rPr>
        <w:t xml:space="preserve">Следует отметить, что в мотивационной сфере испытуемых не представлен внешний мотив, т.е. 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внешние атрибуты школьника</w:t>
      </w:r>
      <w:r w:rsidRPr="00C6628B">
        <w:rPr>
          <w:rFonts w:ascii="Times New Roman" w:hAnsi="Times New Roman"/>
          <w:sz w:val="28"/>
          <w:szCs w:val="28"/>
        </w:rPr>
        <w:t xml:space="preserve"> (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портфель, школьные принадлежности и т.п.) не влияют или влияют незначительно на стремление и желание</w:t>
      </w:r>
      <w:r w:rsidRPr="00C6628B">
        <w:rPr>
          <w:rFonts w:ascii="Times New Roman" w:hAnsi="Times New Roman"/>
          <w:sz w:val="28"/>
          <w:szCs w:val="28"/>
        </w:rPr>
        <w:t xml:space="preserve"> учащихся приобретать знания и совершенствовать умения. </w:t>
      </w:r>
      <w:r w:rsidRPr="00C66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72460" w:rsidRPr="00C6628B" w:rsidRDefault="002D2FEE" w:rsidP="002263DA">
      <w:pPr>
        <w:rPr>
          <w:rFonts w:ascii="Times New Roman" w:eastAsiaTheme="majorEastAsia" w:hAnsi="Times New Roman"/>
          <w:bCs/>
          <w:color w:val="000000"/>
          <w:sz w:val="28"/>
          <w:szCs w:val="28"/>
        </w:rPr>
      </w:pPr>
      <w:r w:rsidRPr="00C6628B">
        <w:rPr>
          <w:rFonts w:ascii="Times New Roman" w:hAnsi="Times New Roman"/>
          <w:bCs/>
          <w:sz w:val="28"/>
          <w:szCs w:val="28"/>
        </w:rPr>
        <w:t>Подводя итог</w:t>
      </w:r>
      <w:r w:rsidR="00635FA9" w:rsidRPr="00C6628B">
        <w:rPr>
          <w:rFonts w:ascii="Times New Roman" w:hAnsi="Times New Roman"/>
          <w:bCs/>
          <w:sz w:val="28"/>
          <w:szCs w:val="28"/>
        </w:rPr>
        <w:t xml:space="preserve">, </w:t>
      </w:r>
      <w:r w:rsidRPr="00C6628B">
        <w:rPr>
          <w:rFonts w:ascii="Times New Roman" w:hAnsi="Times New Roman"/>
          <w:bCs/>
          <w:sz w:val="28"/>
          <w:szCs w:val="28"/>
        </w:rPr>
        <w:t>можно сделать вывод, что уровень учебной мотивации зависит от стиля детско-родительских отношений. Учащиеся в семьях с разным стилем родительского отношения демонстрируют различный уровень мотивации</w:t>
      </w:r>
      <w:r w:rsidR="00EB0A0B" w:rsidRPr="00C6628B">
        <w:rPr>
          <w:rFonts w:ascii="Times New Roman" w:hAnsi="Times New Roman"/>
          <w:bCs/>
          <w:sz w:val="28"/>
          <w:szCs w:val="28"/>
        </w:rPr>
        <w:t xml:space="preserve"> и различную иерархию мотивов</w:t>
      </w:r>
      <w:r w:rsidRPr="00C6628B">
        <w:rPr>
          <w:rFonts w:ascii="Times New Roman" w:hAnsi="Times New Roman"/>
          <w:bCs/>
          <w:sz w:val="28"/>
          <w:szCs w:val="28"/>
        </w:rPr>
        <w:t>.  При анализе приведенных выше данных становится очевидным, что самые высокие баллы были представлены по шкале «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принятие-отвержение», а самым ярко выраженным учебным мотивом является позиционный мотив. Повышению уровня мотивации учебной деятельности подростка способствует благоприятная семейная атмосфера, выраженная в положительном взаимодействии детей и родителей, а также в отсутствии чрезмерного контроля и авторитарного отношения взрослого к ребенку. </w:t>
      </w:r>
      <w:r w:rsidR="00677B17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="00677B17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дети в семьях с демократическим стилем детско-родительских отношений демонстрируют более высокий уровень учебной мотивации. Из </w:t>
      </w:r>
      <w:r w:rsidR="00B82891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>данного вывода</w:t>
      </w:r>
      <w:r w:rsidR="00677B17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следует, что </w:t>
      </w:r>
      <w:r w:rsidR="0094077D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>для повышения</w:t>
      </w:r>
      <w:r w:rsidR="00B82891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 у школьников</w:t>
      </w:r>
      <w:r w:rsidR="0094077D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 уровня мотивации учения необходимо </w:t>
      </w:r>
      <w:r w:rsidR="00B82891" w:rsidRPr="00C6628B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создание условий для улучшения </w:t>
      </w:r>
      <w:r w:rsidR="0094077D" w:rsidRPr="00C6628B">
        <w:rPr>
          <w:rFonts w:ascii="Times New Roman" w:hAnsi="Times New Roman"/>
          <w:sz w:val="28"/>
          <w:szCs w:val="28"/>
        </w:rPr>
        <w:t>психолого-педагогическ</w:t>
      </w:r>
      <w:r w:rsidR="00B82891" w:rsidRPr="00C6628B">
        <w:rPr>
          <w:rFonts w:ascii="Times New Roman" w:hAnsi="Times New Roman"/>
          <w:sz w:val="28"/>
          <w:szCs w:val="28"/>
        </w:rPr>
        <w:t>ой подготовки</w:t>
      </w:r>
      <w:r w:rsidR="0094077D" w:rsidRPr="00C6628B">
        <w:rPr>
          <w:rFonts w:ascii="Times New Roman" w:hAnsi="Times New Roman"/>
          <w:sz w:val="28"/>
          <w:szCs w:val="28"/>
        </w:rPr>
        <w:t xml:space="preserve"> родителей</w:t>
      </w:r>
      <w:r w:rsidR="00B82891" w:rsidRPr="00C6628B">
        <w:rPr>
          <w:rFonts w:ascii="Times New Roman" w:hAnsi="Times New Roman"/>
          <w:sz w:val="28"/>
          <w:szCs w:val="28"/>
        </w:rPr>
        <w:t>.</w:t>
      </w:r>
    </w:p>
    <w:p w:rsidR="009C46C4" w:rsidRPr="00C6628B" w:rsidRDefault="009C46C4" w:rsidP="002263DA">
      <w:pPr>
        <w:ind w:left="96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2891" w:rsidRPr="00C6628B" w:rsidRDefault="009C46C4" w:rsidP="002263DA">
      <w:pPr>
        <w:jc w:val="left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</w:p>
    <w:p w:rsidR="00BB6EA2" w:rsidRPr="00C6628B" w:rsidRDefault="00E11983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Асеев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В. Г. Мотивация по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и формирование личности.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М.: Мысль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B6EA2" w:rsidRPr="00C6628B">
        <w:rPr>
          <w:rStyle w:val="a8"/>
          <w:rFonts w:ascii="Times New Roman" w:eastAsiaTheme="majorEastAsia" w:hAnsi="Times New Roman"/>
          <w:b w:val="0"/>
          <w:sz w:val="28"/>
          <w:szCs w:val="28"/>
          <w:shd w:val="clear" w:color="auto" w:fill="FFFFFF"/>
        </w:rPr>
        <w:t>2015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160 c.</w:t>
      </w:r>
    </w:p>
    <w:p w:rsidR="00BB6EA2" w:rsidRPr="00C6628B" w:rsidRDefault="00E11983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Божович</w:t>
      </w:r>
      <w:proofErr w:type="spellEnd"/>
      <w:r w:rsidR="00BB6EA2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 И. Проблемы формирования личности: Избр</w:t>
      </w:r>
      <w:r w:rsidR="00A14200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анные психологические труды</w:t>
      </w:r>
      <w:r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B6EA2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Воронеж: МОДЭК</w:t>
      </w:r>
      <w:r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B6EA2" w:rsidRPr="00C66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2001. 349 с.</w:t>
      </w:r>
    </w:p>
    <w:p w:rsidR="00772460" w:rsidRPr="00C6628B" w:rsidRDefault="00CA0CE0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</w:rPr>
        <w:t>Зимняя</w:t>
      </w:r>
      <w:r w:rsidR="00772460" w:rsidRPr="00C6628B">
        <w:rPr>
          <w:rFonts w:ascii="Times New Roman" w:hAnsi="Times New Roman"/>
          <w:sz w:val="28"/>
          <w:szCs w:val="28"/>
        </w:rPr>
        <w:t xml:space="preserve"> И.А. Педагогическая психология</w:t>
      </w:r>
      <w:r w:rsidRPr="00C6628B">
        <w:rPr>
          <w:rFonts w:ascii="Times New Roman" w:hAnsi="Times New Roman"/>
          <w:sz w:val="28"/>
          <w:szCs w:val="28"/>
        </w:rPr>
        <w:t>.</w:t>
      </w:r>
      <w:r w:rsidR="00772460" w:rsidRPr="00C6628B">
        <w:rPr>
          <w:rFonts w:ascii="Times New Roman" w:hAnsi="Times New Roman"/>
          <w:sz w:val="28"/>
          <w:szCs w:val="28"/>
        </w:rPr>
        <w:t xml:space="preserve"> Ростов-на-Дону: Феникс</w:t>
      </w:r>
      <w:r w:rsidRPr="00C6628B">
        <w:rPr>
          <w:rFonts w:ascii="Times New Roman" w:hAnsi="Times New Roman"/>
          <w:sz w:val="28"/>
          <w:szCs w:val="28"/>
        </w:rPr>
        <w:t>,</w:t>
      </w:r>
      <w:r w:rsidR="00772460" w:rsidRPr="00C6628B">
        <w:rPr>
          <w:rFonts w:ascii="Times New Roman" w:hAnsi="Times New Roman"/>
          <w:sz w:val="28"/>
          <w:szCs w:val="28"/>
        </w:rPr>
        <w:t xml:space="preserve"> 1997. 480</w:t>
      </w:r>
      <w:r w:rsidR="00965432" w:rsidRPr="00C6628B">
        <w:rPr>
          <w:rFonts w:ascii="Times New Roman" w:hAnsi="Times New Roman"/>
          <w:sz w:val="28"/>
          <w:szCs w:val="28"/>
        </w:rPr>
        <w:t xml:space="preserve"> </w:t>
      </w:r>
      <w:r w:rsidR="00772460" w:rsidRPr="00C6628B">
        <w:rPr>
          <w:rFonts w:ascii="Times New Roman" w:hAnsi="Times New Roman"/>
          <w:sz w:val="28"/>
          <w:szCs w:val="28"/>
        </w:rPr>
        <w:t>с.</w:t>
      </w:r>
    </w:p>
    <w:p w:rsidR="00BB6EA2" w:rsidRPr="00C6628B" w:rsidRDefault="00CA0CE0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sz w:val="28"/>
          <w:szCs w:val="28"/>
          <w:shd w:val="clear" w:color="auto" w:fill="FFFFFF"/>
        </w:rPr>
        <w:t>Мухина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В. С. Возрастная психология: феноменология развития, детство, отрочество: Учебник для студ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ентов вузов.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М.: Издательский центр «Академия»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2006.</w:t>
      </w:r>
      <w:r w:rsidRPr="00C66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6EA2" w:rsidRPr="00C6628B">
        <w:rPr>
          <w:rFonts w:ascii="Times New Roman" w:hAnsi="Times New Roman"/>
          <w:sz w:val="28"/>
          <w:szCs w:val="28"/>
          <w:shd w:val="clear" w:color="auto" w:fill="FFFFFF"/>
        </w:rPr>
        <w:t>456 с.</w:t>
      </w:r>
    </w:p>
    <w:p w:rsidR="00BB6EA2" w:rsidRPr="00C6628B" w:rsidRDefault="00CA0CE0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6628B">
        <w:rPr>
          <w:rFonts w:ascii="Times New Roman" w:hAnsi="Times New Roman"/>
          <w:color w:val="000000"/>
          <w:sz w:val="28"/>
          <w:szCs w:val="28"/>
        </w:rPr>
        <w:t xml:space="preserve">Николаева Л. А. Детско-родительские отношения как фактор развития ребенка // Известия Саратовского университета. Новая серия. Серия </w:t>
      </w:r>
      <w:proofErr w:type="spellStart"/>
      <w:r w:rsidRPr="00C6628B">
        <w:rPr>
          <w:rFonts w:ascii="Times New Roman" w:hAnsi="Times New Roman"/>
          <w:color w:val="000000"/>
          <w:sz w:val="28"/>
          <w:szCs w:val="28"/>
        </w:rPr>
        <w:t>Акмеология</w:t>
      </w:r>
      <w:proofErr w:type="spellEnd"/>
      <w:r w:rsidRPr="00C6628B">
        <w:rPr>
          <w:rFonts w:ascii="Times New Roman" w:hAnsi="Times New Roman"/>
          <w:color w:val="000000"/>
          <w:sz w:val="28"/>
          <w:szCs w:val="28"/>
        </w:rPr>
        <w:t xml:space="preserve"> образования. Психология развития. 2013.</w:t>
      </w:r>
      <w:r w:rsidR="00772460" w:rsidRPr="00C66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28B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C662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2460" w:rsidRPr="00C6628B">
        <w:rPr>
          <w:rFonts w:ascii="Times New Roman" w:hAnsi="Times New Roman"/>
          <w:sz w:val="28"/>
          <w:szCs w:val="28"/>
        </w:rPr>
        <w:t>2.</w:t>
      </w:r>
      <w:r w:rsidRPr="00C6628B">
        <w:rPr>
          <w:rFonts w:ascii="Times New Roman" w:hAnsi="Times New Roman"/>
          <w:sz w:val="28"/>
          <w:szCs w:val="28"/>
        </w:rPr>
        <w:t xml:space="preserve"> С</w:t>
      </w:r>
      <w:r w:rsidR="00772460" w:rsidRPr="00C6628B">
        <w:rPr>
          <w:rFonts w:ascii="Times New Roman" w:hAnsi="Times New Roman"/>
          <w:sz w:val="28"/>
          <w:szCs w:val="28"/>
        </w:rPr>
        <w:t>. 187-192</w:t>
      </w:r>
      <w:r w:rsidRPr="00C6628B">
        <w:rPr>
          <w:rFonts w:ascii="Times New Roman" w:hAnsi="Times New Roman"/>
          <w:sz w:val="28"/>
          <w:szCs w:val="28"/>
        </w:rPr>
        <w:t>.</w:t>
      </w:r>
    </w:p>
    <w:p w:rsidR="002752E0" w:rsidRPr="00C6628B" w:rsidRDefault="00CA0CE0" w:rsidP="007E052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C6628B">
        <w:rPr>
          <w:rFonts w:ascii="Times New Roman" w:hAnsi="Times New Roman"/>
          <w:sz w:val="28"/>
          <w:szCs w:val="28"/>
        </w:rPr>
        <w:t xml:space="preserve">Рогов </w:t>
      </w:r>
      <w:r w:rsidR="00772460" w:rsidRPr="00C6628B">
        <w:rPr>
          <w:rFonts w:ascii="Times New Roman" w:hAnsi="Times New Roman"/>
          <w:sz w:val="28"/>
          <w:szCs w:val="28"/>
        </w:rPr>
        <w:t xml:space="preserve">Е.И. Настольная книга </w:t>
      </w:r>
      <w:r w:rsidR="00A14200" w:rsidRPr="00C6628B">
        <w:rPr>
          <w:rFonts w:ascii="Times New Roman" w:hAnsi="Times New Roman"/>
          <w:sz w:val="28"/>
          <w:szCs w:val="28"/>
        </w:rPr>
        <w:t xml:space="preserve">практического психолога: Учебное </w:t>
      </w:r>
      <w:r w:rsidRPr="00C6628B">
        <w:rPr>
          <w:rFonts w:ascii="Times New Roman" w:hAnsi="Times New Roman"/>
          <w:sz w:val="28"/>
          <w:szCs w:val="28"/>
        </w:rPr>
        <w:t xml:space="preserve">пособие. </w:t>
      </w:r>
      <w:r w:rsidR="00A14200" w:rsidRPr="00C6628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14200"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Издательство</w:t>
      </w:r>
      <w:r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6628B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BB6EA2"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2014. </w:t>
      </w:r>
      <w:proofErr w:type="gramStart"/>
      <w:r w:rsidR="00BB6EA2"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>412</w:t>
      </w:r>
      <w:proofErr w:type="gramEnd"/>
      <w:r w:rsidR="00BB6EA2"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B6EA2" w:rsidRPr="00C662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B6EA2" w:rsidRPr="00C6628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55BAD" w:rsidRPr="00C6628B" w:rsidRDefault="00C55BAD" w:rsidP="00C55BAD">
      <w:pPr>
        <w:jc w:val="left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55BAD" w:rsidRPr="00C6628B" w:rsidSect="00093E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837"/>
    <w:multiLevelType w:val="multilevel"/>
    <w:tmpl w:val="A25872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864" w:hanging="115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" w15:restartNumberingAfterBreak="0">
    <w:nsid w:val="07847A0F"/>
    <w:multiLevelType w:val="hybridMultilevel"/>
    <w:tmpl w:val="49C473A0"/>
    <w:lvl w:ilvl="0" w:tplc="44481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D63AFF"/>
    <w:multiLevelType w:val="hybridMultilevel"/>
    <w:tmpl w:val="00865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D91DAC"/>
    <w:multiLevelType w:val="multilevel"/>
    <w:tmpl w:val="FB5A32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41F41D1"/>
    <w:multiLevelType w:val="multilevel"/>
    <w:tmpl w:val="A4B4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eastAsia="Calibri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eastAsia="Calibri" w:cs="Times New Roman" w:hint="default"/>
        <w:color w:val="auto"/>
      </w:rPr>
    </w:lvl>
  </w:abstractNum>
  <w:abstractNum w:abstractNumId="5" w15:restartNumberingAfterBreak="0">
    <w:nsid w:val="432F1DE4"/>
    <w:multiLevelType w:val="hybridMultilevel"/>
    <w:tmpl w:val="450E8C4A"/>
    <w:lvl w:ilvl="0" w:tplc="1D1C3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F3875"/>
    <w:multiLevelType w:val="hybridMultilevel"/>
    <w:tmpl w:val="24702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823660"/>
    <w:multiLevelType w:val="hybridMultilevel"/>
    <w:tmpl w:val="98E8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345E"/>
    <w:multiLevelType w:val="hybridMultilevel"/>
    <w:tmpl w:val="35B4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A0DAA"/>
    <w:multiLevelType w:val="hybridMultilevel"/>
    <w:tmpl w:val="C7C44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81651E"/>
    <w:multiLevelType w:val="hybridMultilevel"/>
    <w:tmpl w:val="FC1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175A"/>
    <w:multiLevelType w:val="hybridMultilevel"/>
    <w:tmpl w:val="2A369D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77C51DC6"/>
    <w:multiLevelType w:val="hybridMultilevel"/>
    <w:tmpl w:val="CAC20FC4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79BC66C0"/>
    <w:multiLevelType w:val="hybridMultilevel"/>
    <w:tmpl w:val="35DA44B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B"/>
    <w:rsid w:val="00040443"/>
    <w:rsid w:val="00075B08"/>
    <w:rsid w:val="0009275F"/>
    <w:rsid w:val="00093EB1"/>
    <w:rsid w:val="000C7354"/>
    <w:rsid w:val="000D0751"/>
    <w:rsid w:val="000E016E"/>
    <w:rsid w:val="000E24C3"/>
    <w:rsid w:val="000F0D54"/>
    <w:rsid w:val="0011770E"/>
    <w:rsid w:val="00125504"/>
    <w:rsid w:val="001735FA"/>
    <w:rsid w:val="001A3ACB"/>
    <w:rsid w:val="001C2C0E"/>
    <w:rsid w:val="001E1701"/>
    <w:rsid w:val="002042DC"/>
    <w:rsid w:val="002263DA"/>
    <w:rsid w:val="0025226F"/>
    <w:rsid w:val="002752E0"/>
    <w:rsid w:val="002C2C95"/>
    <w:rsid w:val="002D2FEE"/>
    <w:rsid w:val="002E55F2"/>
    <w:rsid w:val="00347D3B"/>
    <w:rsid w:val="003519EE"/>
    <w:rsid w:val="00361CF6"/>
    <w:rsid w:val="0036596C"/>
    <w:rsid w:val="00372B5C"/>
    <w:rsid w:val="00386122"/>
    <w:rsid w:val="00393B97"/>
    <w:rsid w:val="003E2832"/>
    <w:rsid w:val="003F236B"/>
    <w:rsid w:val="003F35B6"/>
    <w:rsid w:val="00406B6C"/>
    <w:rsid w:val="00414D08"/>
    <w:rsid w:val="00444ABA"/>
    <w:rsid w:val="00501CF9"/>
    <w:rsid w:val="00514EA4"/>
    <w:rsid w:val="005348F8"/>
    <w:rsid w:val="005615A9"/>
    <w:rsid w:val="0059079B"/>
    <w:rsid w:val="00635FA9"/>
    <w:rsid w:val="00650A0C"/>
    <w:rsid w:val="00677B17"/>
    <w:rsid w:val="006C735D"/>
    <w:rsid w:val="00747B39"/>
    <w:rsid w:val="007513F7"/>
    <w:rsid w:val="00772460"/>
    <w:rsid w:val="00777257"/>
    <w:rsid w:val="007850C5"/>
    <w:rsid w:val="007E052C"/>
    <w:rsid w:val="00806404"/>
    <w:rsid w:val="00844EBB"/>
    <w:rsid w:val="008A6E59"/>
    <w:rsid w:val="008D6BE6"/>
    <w:rsid w:val="008E125A"/>
    <w:rsid w:val="0094077D"/>
    <w:rsid w:val="009649DF"/>
    <w:rsid w:val="00965432"/>
    <w:rsid w:val="00996FDA"/>
    <w:rsid w:val="009C46C4"/>
    <w:rsid w:val="00A14200"/>
    <w:rsid w:val="00A53FA9"/>
    <w:rsid w:val="00AA1BEA"/>
    <w:rsid w:val="00AF7693"/>
    <w:rsid w:val="00B12002"/>
    <w:rsid w:val="00B12D6F"/>
    <w:rsid w:val="00B31D98"/>
    <w:rsid w:val="00B46AFA"/>
    <w:rsid w:val="00B553BF"/>
    <w:rsid w:val="00B82891"/>
    <w:rsid w:val="00B9712F"/>
    <w:rsid w:val="00BB6EA2"/>
    <w:rsid w:val="00BE6E3A"/>
    <w:rsid w:val="00C149A5"/>
    <w:rsid w:val="00C23A6A"/>
    <w:rsid w:val="00C323AB"/>
    <w:rsid w:val="00C35058"/>
    <w:rsid w:val="00C55BAD"/>
    <w:rsid w:val="00C6628B"/>
    <w:rsid w:val="00CA0CE0"/>
    <w:rsid w:val="00CA4D5B"/>
    <w:rsid w:val="00CB7C91"/>
    <w:rsid w:val="00CD19EC"/>
    <w:rsid w:val="00D96CC8"/>
    <w:rsid w:val="00DB5459"/>
    <w:rsid w:val="00DC1D2E"/>
    <w:rsid w:val="00DC2AE8"/>
    <w:rsid w:val="00DE0E71"/>
    <w:rsid w:val="00E11983"/>
    <w:rsid w:val="00E13F2A"/>
    <w:rsid w:val="00E75112"/>
    <w:rsid w:val="00EB0A0B"/>
    <w:rsid w:val="00EC06A3"/>
    <w:rsid w:val="00EF3A03"/>
    <w:rsid w:val="00F031DD"/>
    <w:rsid w:val="00F3194E"/>
    <w:rsid w:val="00F41667"/>
    <w:rsid w:val="00F80950"/>
    <w:rsid w:val="00FB14B3"/>
    <w:rsid w:val="00FB1CC4"/>
    <w:rsid w:val="00FC20C2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FCE3"/>
  <w15:docId w15:val="{63CEFE06-A1F0-460D-8C66-831E20F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3B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52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2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5226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25226F"/>
    <w:pPr>
      <w:autoSpaceDE w:val="0"/>
      <w:autoSpaceDN w:val="0"/>
      <w:adjustRightInd w:val="0"/>
      <w:spacing w:line="241" w:lineRule="atLeast"/>
      <w:ind w:firstLine="0"/>
      <w:jc w:val="left"/>
    </w:pPr>
    <w:rPr>
      <w:rFonts w:ascii="Book Antiqua" w:eastAsiaTheme="minorHAnsi" w:hAnsi="Book Antiqua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25226F"/>
    <w:pPr>
      <w:widowControl w:val="0"/>
      <w:autoSpaceDE w:val="0"/>
      <w:autoSpaceDN w:val="0"/>
      <w:adjustRightInd w:val="0"/>
      <w:spacing w:line="232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2522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25226F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2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44EBB"/>
    <w:rPr>
      <w:color w:val="0000FF"/>
      <w:u w:val="single"/>
    </w:rPr>
  </w:style>
  <w:style w:type="character" w:styleId="a8">
    <w:name w:val="Strong"/>
    <w:basedOn w:val="a0"/>
    <w:uiPriority w:val="22"/>
    <w:qFormat/>
    <w:rsid w:val="00BB6EA2"/>
    <w:rPr>
      <w:b/>
      <w:bCs/>
    </w:rPr>
  </w:style>
  <w:style w:type="table" w:styleId="a9">
    <w:name w:val="Table Grid"/>
    <w:basedOn w:val="a1"/>
    <w:uiPriority w:val="39"/>
    <w:rsid w:val="0027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уровней мотивации выборки испытуемых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DBD2-4499-8322-CEC0037612C8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BD2-4499-8322-CEC0037612C8}"/>
              </c:ext>
            </c:extLst>
          </c:dPt>
          <c:dPt>
            <c:idx val="2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2-DBD2-4499-8322-CEC0037612C8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Высокий уровень мотивации 45%</c:v>
                </c:pt>
                <c:pt idx="1">
                  <c:v>Нормальный (средний) уровень мотивации 50%</c:v>
                </c:pt>
                <c:pt idx="2">
                  <c:v>Сниженный уровень мотивации 5%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0.45</c:v>
                </c:pt>
                <c:pt idx="1">
                  <c:v>0.5</c:v>
                </c:pt>
                <c:pt idx="2">
                  <c:v>5.0000000000000114E-2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D2-4499-8322-CEC003761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986220472440944"/>
          <c:y val="0.32044150731158638"/>
          <c:w val="0.38782298046078312"/>
          <c:h val="0.42657730283714901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65700641586455"/>
          <c:y val="5.1994125734283213E-2"/>
          <c:w val="0.6223164552347622"/>
          <c:h val="0.70544025746782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мотивации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Принятие – отвержение 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Контроль</c:v>
                </c:pt>
                <c:pt idx="4">
                  <c:v>Отношение к неудачам ребенка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30.7</c:v>
                </c:pt>
                <c:pt idx="1">
                  <c:v>6.1</c:v>
                </c:pt>
                <c:pt idx="2">
                  <c:v>4.7</c:v>
                </c:pt>
                <c:pt idx="3">
                  <c:v>4.3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2-49FF-847A-39397CDB5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Нормальный (средний) уровень мотивации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Принятие – отвержение 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Контроль</c:v>
                </c:pt>
                <c:pt idx="4">
                  <c:v>Отношение к неудачам ребенка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29.1</c:v>
                </c:pt>
                <c:pt idx="1">
                  <c:v>5.4</c:v>
                </c:pt>
                <c:pt idx="2">
                  <c:v>5.2</c:v>
                </c:pt>
                <c:pt idx="3">
                  <c:v>4.7</c:v>
                </c:pt>
                <c:pt idx="4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2-49FF-847A-39397CDB50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Принятие – отвержение 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Контроль</c:v>
                </c:pt>
                <c:pt idx="4">
                  <c:v>Отношение к неудачам ребенка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312-49FF-847A-39397CDB5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66560"/>
        <c:axId val="117668480"/>
      </c:barChart>
      <c:catAx>
        <c:axId val="117666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Тип родительского отношения</a:t>
                </a:r>
              </a:p>
            </c:rich>
          </c:tx>
          <c:layout>
            <c:manualLayout>
              <c:xMode val="edge"/>
              <c:yMode val="edge"/>
              <c:x val="0.1647027194517352"/>
              <c:y val="0.9156230471191180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117668480"/>
        <c:crosses val="autoZero"/>
        <c:auto val="1"/>
        <c:lblAlgn val="ctr"/>
        <c:lblOffset val="100"/>
        <c:noMultiLvlLbl val="0"/>
      </c:catAx>
      <c:valAx>
        <c:axId val="117668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1.0062153689122295E-2"/>
              <c:y val="0.2803352705911757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766656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1634368620590005"/>
          <c:y val="0.27711973503312076"/>
          <c:w val="0.28134149897929767"/>
          <c:h val="0.21560179977502841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Оценочный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D-47CC-ADAB-925EE6A4B0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Позиционный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0.35000000000000031</c:v>
                </c:pt>
                <c:pt idx="2">
                  <c:v>0.31000000000000139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4D-47CC-ADAB-925EE6A4B0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Учебный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0.35000000000000031</c:v>
                </c:pt>
                <c:pt idx="2">
                  <c:v>0.38000000000000156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4D-47CC-ADAB-925EE6A4B0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Игровой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5.0000000000000024E-2</c:v>
                </c:pt>
                <c:pt idx="2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4D-47CC-ADAB-925EE6A4B01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Социальный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4D-47CC-ADAB-925EE6A4B01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Внешний мотив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C4D-47CC-ADAB-925EE6A4B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02976"/>
        <c:axId val="167504896"/>
      </c:barChart>
      <c:catAx>
        <c:axId val="167502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контроля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67504896"/>
        <c:crosses val="autoZero"/>
        <c:auto val="1"/>
        <c:lblAlgn val="ctr"/>
        <c:lblOffset val="100"/>
        <c:noMultiLvlLbl val="0"/>
      </c:catAx>
      <c:valAx>
        <c:axId val="1675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502976"/>
        <c:crosses val="autoZero"/>
        <c:crossBetween val="between"/>
      </c:valAx>
    </c:plotArea>
    <c:legend>
      <c:legendPos val="r"/>
      <c:legendEntry>
        <c:idx val="4"/>
        <c:delete val="1"/>
      </c:legendEntry>
      <c:legendEntry>
        <c:idx val="5"/>
        <c:delete val="1"/>
      </c:legendEntry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AAF7-B861-4E67-B70E-8491DD1B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2020-04-13T18:27:00Z</dcterms:created>
  <dcterms:modified xsi:type="dcterms:W3CDTF">2020-04-13T18:28:00Z</dcterms:modified>
</cp:coreProperties>
</file>